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F6B6" w14:textId="50EEE939" w:rsidR="00B431D5" w:rsidRPr="00C04E3A" w:rsidRDefault="00B431D5" w:rsidP="00B431D5">
      <w:pPr>
        <w:contextualSpacing/>
        <w:jc w:val="center"/>
        <w:rPr>
          <w:rFonts w:ascii="Book Antiqua" w:hAnsi="Book Antiqua"/>
          <w:sz w:val="22"/>
          <w:szCs w:val="22"/>
          <w:u w:val="single"/>
          <w:lang w:val="es-DO"/>
        </w:rPr>
      </w:pPr>
      <w:bookmarkStart w:id="0" w:name="_Toc310512395"/>
      <w:r w:rsidRPr="00C04E3A">
        <w:rPr>
          <w:rFonts w:ascii="Book Antiqua" w:hAnsi="Book Antiqua"/>
          <w:sz w:val="22"/>
          <w:szCs w:val="22"/>
          <w:u w:val="single"/>
          <w:lang w:val="es-DO"/>
        </w:rPr>
        <w:t>INVITACIÓN A PRESENTAR EXPRESIONES DE INTERÉS</w:t>
      </w:r>
      <w:r w:rsidR="006873A6">
        <w:rPr>
          <w:rFonts w:ascii="Book Antiqua" w:hAnsi="Book Antiqua"/>
          <w:sz w:val="22"/>
          <w:szCs w:val="22"/>
          <w:u w:val="single"/>
          <w:lang w:val="es-DO"/>
        </w:rPr>
        <w:t xml:space="preserve"> A LA SOLICITUD DE COTIZACION (SDC)</w:t>
      </w:r>
    </w:p>
    <w:p w14:paraId="5FBD6574" w14:textId="25820FF2" w:rsidR="00B431D5" w:rsidRPr="00C04E3A" w:rsidRDefault="00B431D5" w:rsidP="00B431D5">
      <w:pPr>
        <w:contextualSpacing/>
        <w:jc w:val="center"/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</w:pPr>
      <w:r w:rsidRPr="00C04E3A"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  <w:t xml:space="preserve">SERVICIOS DE </w:t>
      </w:r>
      <w:r w:rsidR="006873A6"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  <w:t xml:space="preserve">NO </w:t>
      </w:r>
      <w:r w:rsidRPr="00C04E3A"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  <w:t xml:space="preserve">CONSULTORÍA </w:t>
      </w:r>
    </w:p>
    <w:p w14:paraId="7FE9FBF6" w14:textId="77777777" w:rsidR="00B431D5" w:rsidRPr="00C04E3A" w:rsidRDefault="00B431D5" w:rsidP="00B431D5">
      <w:pPr>
        <w:contextualSpacing/>
        <w:jc w:val="center"/>
        <w:rPr>
          <w:rFonts w:ascii="Book Antiqua" w:hAnsi="Book Antiqua"/>
          <w:b w:val="0"/>
          <w:bCs/>
          <w:i/>
          <w:iCs/>
          <w:sz w:val="22"/>
          <w:szCs w:val="22"/>
          <w:lang w:val="es-DO"/>
        </w:rPr>
      </w:pPr>
    </w:p>
    <w:p w14:paraId="45E800F6" w14:textId="50E0400E" w:rsidR="00AF1C92" w:rsidRPr="00AF1C92" w:rsidRDefault="00AF1C92" w:rsidP="00AF1C92">
      <w:pPr>
        <w:tabs>
          <w:tab w:val="center" w:pos="5032"/>
          <w:tab w:val="right" w:pos="10065"/>
        </w:tabs>
        <w:contextualSpacing/>
        <w:jc w:val="center"/>
        <w:rPr>
          <w:rFonts w:ascii="Book Antiqua" w:hAnsi="Book Antiqua"/>
          <w:sz w:val="18"/>
          <w:szCs w:val="18"/>
          <w:lang w:val="es-DO"/>
        </w:rPr>
      </w:pPr>
      <w:r w:rsidRPr="00AF1C92">
        <w:rPr>
          <w:bCs/>
          <w:color w:val="000000"/>
          <w:sz w:val="22"/>
          <w:szCs w:val="22"/>
          <w:lang w:val="es-DO" w:eastAsia="en-US"/>
        </w:rPr>
        <w:t>Contratación de servicios de capacitación para el diseño e implementación de un</w:t>
      </w:r>
      <w:r w:rsidRPr="00AF1C92">
        <w:rPr>
          <w:b w:val="0"/>
          <w:color w:val="000000"/>
          <w:sz w:val="16"/>
          <w:szCs w:val="16"/>
          <w:lang w:val="es-DO" w:eastAsia="en-US"/>
        </w:rPr>
        <w:t xml:space="preserve"> </w:t>
      </w:r>
      <w:r w:rsidRPr="00AF1C92">
        <w:rPr>
          <w:bCs/>
          <w:color w:val="000000"/>
          <w:sz w:val="22"/>
          <w:szCs w:val="22"/>
          <w:lang w:val="es-DO" w:eastAsia="en-US"/>
        </w:rPr>
        <w:t>Programa de Liderazgo para el Fortalecimiento de las Capacidades Directivas en el Sector de Agua Potable y Saneamiento</w:t>
      </w:r>
      <w:r w:rsidRPr="00AF1C92">
        <w:rPr>
          <w:rFonts w:ascii="Book Antiqua" w:hAnsi="Book Antiqua"/>
          <w:sz w:val="18"/>
          <w:szCs w:val="18"/>
        </w:rPr>
        <w:t xml:space="preserve"> </w:t>
      </w:r>
      <w:r w:rsidR="00B431D5" w:rsidRPr="00AF1C92">
        <w:rPr>
          <w:rFonts w:ascii="Book Antiqua" w:hAnsi="Book Antiqua"/>
          <w:sz w:val="18"/>
          <w:szCs w:val="18"/>
        </w:rPr>
        <w:t xml:space="preserve">REF. </w:t>
      </w:r>
      <w:bookmarkStart w:id="1" w:name="_Hlk198214560"/>
      <w:r w:rsidR="004F1435" w:rsidRPr="004F1435">
        <w:rPr>
          <w:rFonts w:ascii="Book Antiqua" w:hAnsi="Book Antiqua"/>
          <w:sz w:val="18"/>
          <w:szCs w:val="18"/>
          <w:lang w:val="es-DO"/>
        </w:rPr>
        <w:t>DO-MEPYD-519775-NC-RFQ</w:t>
      </w:r>
    </w:p>
    <w:bookmarkEnd w:id="1"/>
    <w:p w14:paraId="55BCA73B" w14:textId="7079B063" w:rsidR="00B431D5" w:rsidRPr="00AF1C92" w:rsidRDefault="00B431D5" w:rsidP="00002538">
      <w:pPr>
        <w:tabs>
          <w:tab w:val="center" w:pos="5032"/>
          <w:tab w:val="right" w:pos="10065"/>
        </w:tabs>
        <w:contextualSpacing/>
        <w:jc w:val="center"/>
        <w:rPr>
          <w:rFonts w:ascii="Book Antiqua" w:hAnsi="Book Antiqua"/>
          <w:sz w:val="18"/>
          <w:szCs w:val="18"/>
        </w:rPr>
      </w:pPr>
    </w:p>
    <w:p w14:paraId="41685CCC" w14:textId="77777777" w:rsidR="00B431D5" w:rsidRPr="00C04E3A" w:rsidRDefault="00B431D5" w:rsidP="00B431D5">
      <w:pPr>
        <w:tabs>
          <w:tab w:val="center" w:pos="5032"/>
          <w:tab w:val="right" w:pos="10065"/>
        </w:tabs>
        <w:contextualSpacing/>
        <w:jc w:val="center"/>
        <w:rPr>
          <w:rFonts w:ascii="Book Antiqua" w:hAnsi="Book Antiqua"/>
          <w:i/>
          <w:iCs/>
          <w:sz w:val="22"/>
          <w:szCs w:val="22"/>
          <w:lang w:val="es-DO"/>
        </w:rPr>
      </w:pPr>
    </w:p>
    <w:bookmarkEnd w:id="0"/>
    <w:p w14:paraId="5BBCDA32" w14:textId="430E9CB7" w:rsidR="00B431D5" w:rsidRPr="00C04E3A" w:rsidRDefault="00B431D5" w:rsidP="00B431D5">
      <w:pPr>
        <w:contextualSpacing/>
        <w:jc w:val="center"/>
        <w:rPr>
          <w:rFonts w:ascii="Book Antiqua" w:hAnsi="Book Antiqua"/>
          <w:b w:val="0"/>
          <w:bCs/>
          <w:i/>
          <w:iCs/>
          <w:sz w:val="22"/>
          <w:szCs w:val="22"/>
        </w:rPr>
      </w:pPr>
      <w:r w:rsidRPr="00C656E8">
        <w:rPr>
          <w:rFonts w:ascii="Book Antiqua" w:hAnsi="Book Antiqua"/>
          <w:b w:val="0"/>
          <w:bCs/>
          <w:i/>
          <w:iCs/>
          <w:sz w:val="22"/>
          <w:szCs w:val="22"/>
        </w:rPr>
        <w:t>(Fecha Límite:</w:t>
      </w:r>
      <w:r w:rsidR="001422B6" w:rsidRPr="00C656E8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  <w:r w:rsidR="00B22D76">
        <w:rPr>
          <w:rFonts w:ascii="Book Antiqua" w:hAnsi="Book Antiqua"/>
          <w:b w:val="0"/>
          <w:bCs/>
          <w:i/>
          <w:iCs/>
          <w:sz w:val="22"/>
          <w:szCs w:val="22"/>
        </w:rPr>
        <w:t>1</w:t>
      </w:r>
      <w:r w:rsidR="00654FB3" w:rsidRPr="00C656E8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  <w:r w:rsidRPr="00C656E8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de </w:t>
      </w:r>
      <w:r w:rsidR="00AF1C92" w:rsidRPr="00C656E8">
        <w:rPr>
          <w:rFonts w:ascii="Book Antiqua" w:hAnsi="Book Antiqua"/>
          <w:b w:val="0"/>
          <w:bCs/>
          <w:i/>
          <w:iCs/>
          <w:sz w:val="22"/>
          <w:szCs w:val="22"/>
        </w:rPr>
        <w:t>ju</w:t>
      </w:r>
      <w:r w:rsidR="00B22D76">
        <w:rPr>
          <w:rFonts w:ascii="Book Antiqua" w:hAnsi="Book Antiqua"/>
          <w:b w:val="0"/>
          <w:bCs/>
          <w:i/>
          <w:iCs/>
          <w:sz w:val="22"/>
          <w:szCs w:val="22"/>
        </w:rPr>
        <w:t>l</w:t>
      </w:r>
      <w:r w:rsidR="00AF1C92" w:rsidRPr="00C656E8">
        <w:rPr>
          <w:rFonts w:ascii="Book Antiqua" w:hAnsi="Book Antiqua"/>
          <w:b w:val="0"/>
          <w:bCs/>
          <w:i/>
          <w:iCs/>
          <w:sz w:val="22"/>
          <w:szCs w:val="22"/>
        </w:rPr>
        <w:t>io</w:t>
      </w:r>
      <w:r w:rsidR="00654FB3" w:rsidRPr="00C656E8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  <w:r w:rsidRPr="00C656E8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de </w:t>
      </w:r>
      <w:r w:rsidR="0064226C" w:rsidRPr="00C656E8">
        <w:rPr>
          <w:rFonts w:ascii="Book Antiqua" w:hAnsi="Book Antiqua"/>
          <w:b w:val="0"/>
          <w:bCs/>
          <w:i/>
          <w:iCs/>
          <w:sz w:val="22"/>
          <w:szCs w:val="22"/>
        </w:rPr>
        <w:t>202</w:t>
      </w:r>
      <w:r w:rsidR="00AF1C92" w:rsidRPr="00C656E8">
        <w:rPr>
          <w:rFonts w:ascii="Book Antiqua" w:hAnsi="Book Antiqua"/>
          <w:b w:val="0"/>
          <w:bCs/>
          <w:i/>
          <w:iCs/>
          <w:sz w:val="22"/>
          <w:szCs w:val="22"/>
        </w:rPr>
        <w:t>6</w:t>
      </w:r>
      <w:r w:rsidRPr="00C656E8">
        <w:rPr>
          <w:rFonts w:ascii="Book Antiqua" w:hAnsi="Book Antiqua"/>
          <w:b w:val="0"/>
          <w:bCs/>
          <w:i/>
          <w:iCs/>
          <w:sz w:val="22"/>
          <w:szCs w:val="22"/>
        </w:rPr>
        <w:t>)</w:t>
      </w:r>
      <w:r w:rsidRPr="00C04E3A">
        <w:rPr>
          <w:rFonts w:ascii="Book Antiqua" w:hAnsi="Book Antiqua"/>
          <w:b w:val="0"/>
          <w:bCs/>
          <w:i/>
          <w:iCs/>
          <w:sz w:val="22"/>
          <w:szCs w:val="22"/>
        </w:rPr>
        <w:t xml:space="preserve"> </w:t>
      </w:r>
    </w:p>
    <w:p w14:paraId="770B9311" w14:textId="77777777" w:rsidR="00B431D5" w:rsidRPr="00C04E3A" w:rsidRDefault="00B431D5" w:rsidP="00B431D5">
      <w:pPr>
        <w:contextualSpacing/>
        <w:jc w:val="both"/>
        <w:rPr>
          <w:rFonts w:ascii="Book Antiqua" w:hAnsi="Book Antiqua"/>
          <w:b w:val="0"/>
          <w:smallCaps/>
          <w:color w:val="FF0000"/>
          <w:sz w:val="22"/>
          <w:szCs w:val="22"/>
        </w:rPr>
      </w:pPr>
    </w:p>
    <w:p w14:paraId="39A1C95A" w14:textId="77777777" w:rsidR="00AF1C92" w:rsidRPr="00AF1C92" w:rsidRDefault="00AF1C92" w:rsidP="00AF1C92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  <w:r w:rsidRPr="00AF1C92">
        <w:rPr>
          <w:rFonts w:ascii="Book Antiqua" w:hAnsi="Book Antiqua"/>
          <w:b w:val="0"/>
          <w:sz w:val="22"/>
          <w:szCs w:val="22"/>
          <w:lang w:val="es-DO"/>
        </w:rPr>
        <w:t>Como respuesta a los desafíos nacionales en la temática del agua, y alineados con la Estrategia Nacional de Desarrollo, las políticas del gobierno y los Objetivos de Desarrollo Sostenible, el Gobierno Dominicano estableció el Pacto por el Agua 2021-2036. Este pacto busca ser el sustento de la política de Estado para la reforma institucional y de la gobernanza, la capitalización y la modernización para la sostenibilidad y la equidad en la gestión del agua en el país.</w:t>
      </w:r>
    </w:p>
    <w:p w14:paraId="0EB66068" w14:textId="77777777" w:rsidR="00AF1C92" w:rsidRPr="00AF1C92" w:rsidRDefault="00AF1C92" w:rsidP="00AF1C92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</w:p>
    <w:p w14:paraId="059D400A" w14:textId="77777777" w:rsidR="00AF1C92" w:rsidRPr="00AF1C92" w:rsidRDefault="00AF1C92" w:rsidP="00AF1C92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  <w:r w:rsidRPr="00AF1C92">
        <w:rPr>
          <w:rFonts w:ascii="Book Antiqua" w:hAnsi="Book Antiqua"/>
          <w:b w:val="0"/>
          <w:sz w:val="22"/>
          <w:szCs w:val="22"/>
          <w:lang w:val="es-DO"/>
        </w:rPr>
        <w:t>El Programa de Modernización del Sector de Agua Potable y Saneamiento es apoyado por el Banco Internacional de Reconstrucción y Fomento (BIRF) a través de un préstamo equivalente a USD 250,000,000. El préstamo opera mediante dos componentes: (i) un Programa por Resultados – PporR (USD 225,000,000) que apalanca inversiones del Estado, gestionado por tres prestadoras de APS; y (ii) un Financiamiento de Proyectos de Inversión – FPI (USD 25,000,000), gestionado por el MEPyD (USD 17,500,00</w:t>
      </w:r>
      <w:bookmarkStart w:id="2" w:name="_GoBack"/>
      <w:bookmarkEnd w:id="2"/>
      <w:r w:rsidRPr="00AF1C92">
        <w:rPr>
          <w:rFonts w:ascii="Book Antiqua" w:hAnsi="Book Antiqua"/>
          <w:b w:val="0"/>
          <w:sz w:val="22"/>
          <w:szCs w:val="22"/>
          <w:lang w:val="es-DO"/>
        </w:rPr>
        <w:t>0) para coordinar, supervisar, monitorear y evaluar el Programa, y apoyar las reformas legales e institucionales sobre la gestión de recursos hídricos.</w:t>
      </w:r>
    </w:p>
    <w:p w14:paraId="7DFE8A2B" w14:textId="77777777" w:rsidR="00AF1C92" w:rsidRDefault="00AF1C92" w:rsidP="000B2AB7">
      <w:pPr>
        <w:contextualSpacing/>
        <w:jc w:val="both"/>
        <w:rPr>
          <w:rFonts w:ascii="Book Antiqua" w:hAnsi="Book Antiqua"/>
          <w:b w:val="0"/>
          <w:sz w:val="22"/>
          <w:szCs w:val="22"/>
          <w:lang w:val="es-DO"/>
        </w:rPr>
      </w:pPr>
    </w:p>
    <w:p w14:paraId="0AF5F53D" w14:textId="77777777" w:rsidR="00AF1C92" w:rsidRPr="00AF1C92" w:rsidRDefault="00AF1C92" w:rsidP="00AF1C92">
      <w:pPr>
        <w:contextualSpacing/>
        <w:jc w:val="both"/>
        <w:rPr>
          <w:rFonts w:ascii="Book Antiqua" w:hAnsi="Book Antiqua"/>
          <w:bCs/>
          <w:sz w:val="22"/>
          <w:szCs w:val="22"/>
          <w:lang w:val="es-DO"/>
        </w:rPr>
      </w:pPr>
      <w:r w:rsidRPr="00AF1C92">
        <w:rPr>
          <w:rFonts w:ascii="Book Antiqua" w:hAnsi="Book Antiqua"/>
          <w:b w:val="0"/>
          <w:sz w:val="22"/>
          <w:szCs w:val="22"/>
          <w:lang w:val="es-DO"/>
        </w:rPr>
        <w:t>Como parte de las actividades a realizarse en el marco del referido programa, la Unidad de Gestión y Coordinación del Proyecto (UGCP) requiere la</w:t>
      </w:r>
      <w:r w:rsidRPr="00AF1C92">
        <w:rPr>
          <w:rFonts w:ascii="Book Antiqua" w:hAnsi="Book Antiqua"/>
          <w:bCs/>
          <w:sz w:val="22"/>
          <w:szCs w:val="22"/>
          <w:lang w:val="es-DO"/>
        </w:rPr>
        <w:t xml:space="preserve"> Contratación de servicios de capacitación para el diseño e implementación de un Programa de Liderazgo para el Fortalecimiento de las Capacidades Directivas en el Sector de Agua Potable y Saneamiento, </w:t>
      </w:r>
      <w:r w:rsidRPr="00AF1C92">
        <w:rPr>
          <w:rFonts w:ascii="Book Antiqua" w:hAnsi="Book Antiqua"/>
          <w:b w:val="0"/>
          <w:sz w:val="22"/>
          <w:szCs w:val="22"/>
          <w:lang w:val="es-DO"/>
        </w:rPr>
        <w:t>para el diseño e implementación de un Programa de Liderazgo orientado a fortalecer las competencias personales, interpersonales y estratégicas de las personas participantes, de manera que puedan desempeñar de forma más efectiva sus roles dentro de la institución y contribuir al logro de los objetivos institucionales y estratégicos del sector de Agua Potable y Saneamiento.</w:t>
      </w:r>
    </w:p>
    <w:p w14:paraId="217DF194" w14:textId="77777777" w:rsidR="00783C28" w:rsidRPr="00F23FAD" w:rsidRDefault="00783C28" w:rsidP="00783C28">
      <w:pPr>
        <w:contextualSpacing/>
        <w:jc w:val="both"/>
        <w:rPr>
          <w:rFonts w:ascii="Book Antiqua" w:hAnsi="Book Antiqua"/>
          <w:b w:val="0"/>
          <w:sz w:val="22"/>
          <w:szCs w:val="22"/>
        </w:rPr>
      </w:pPr>
    </w:p>
    <w:p w14:paraId="55B9238E" w14:textId="42285BBE" w:rsidR="00B431D5" w:rsidRPr="00F23FAD" w:rsidRDefault="002A169A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</w:rPr>
      </w:pPr>
      <w:r w:rsidRPr="00F23FAD">
        <w:rPr>
          <w:rFonts w:ascii="Book Antiqua" w:hAnsi="Book Antiqua"/>
          <w:b w:val="0"/>
          <w:bCs/>
          <w:sz w:val="22"/>
          <w:szCs w:val="22"/>
        </w:rPr>
        <w:t>En este contexto, e</w:t>
      </w:r>
      <w:r w:rsidR="00B431D5" w:rsidRPr="00F23FAD">
        <w:rPr>
          <w:rFonts w:ascii="Book Antiqua" w:hAnsi="Book Antiqua"/>
          <w:b w:val="0"/>
          <w:bCs/>
          <w:sz w:val="22"/>
          <w:szCs w:val="22"/>
        </w:rPr>
        <w:t xml:space="preserve">l </w:t>
      </w:r>
      <w:r w:rsidR="00AF1C92">
        <w:rPr>
          <w:rFonts w:ascii="Book Antiqua" w:hAnsi="Book Antiqua"/>
          <w:b w:val="0"/>
          <w:bCs/>
          <w:sz w:val="22"/>
          <w:szCs w:val="22"/>
        </w:rPr>
        <w:t>Hacienda y Economía</w:t>
      </w:r>
      <w:r w:rsidR="00B431D5" w:rsidRPr="00F23FAD">
        <w:rPr>
          <w:rFonts w:ascii="Book Antiqua" w:hAnsi="Book Antiqua"/>
          <w:b w:val="0"/>
          <w:bCs/>
          <w:sz w:val="22"/>
          <w:szCs w:val="22"/>
        </w:rPr>
        <w:t xml:space="preserve"> invita a las firmas consultoras elegibles a expresar su interés en prestar los servicios solicitados. </w:t>
      </w:r>
      <w:r w:rsidR="00B431D5" w:rsidRPr="00F23FAD">
        <w:rPr>
          <w:rFonts w:ascii="Book Antiqua" w:hAnsi="Book Antiqua"/>
          <w:b w:val="0"/>
          <w:bCs/>
          <w:sz w:val="22"/>
          <w:szCs w:val="22"/>
          <w:u w:val="single"/>
        </w:rPr>
        <w:t xml:space="preserve">Las firmas interesadas deberán proporcionar información que indique que se encuentran cualificados para suministrar los servicios </w:t>
      </w:r>
      <w:r w:rsidR="0005031B" w:rsidRPr="00F23FAD">
        <w:rPr>
          <w:rFonts w:ascii="Book Antiqua" w:hAnsi="Book Antiqua"/>
          <w:b w:val="0"/>
          <w:bCs/>
          <w:sz w:val="22"/>
          <w:szCs w:val="22"/>
          <w:u w:val="single"/>
        </w:rPr>
        <w:t>e información</w:t>
      </w:r>
      <w:r w:rsidR="00B431D5" w:rsidRPr="00F23FAD">
        <w:rPr>
          <w:rFonts w:ascii="Book Antiqua" w:hAnsi="Book Antiqua"/>
          <w:b w:val="0"/>
          <w:bCs/>
          <w:sz w:val="22"/>
          <w:szCs w:val="22"/>
          <w:u w:val="single"/>
        </w:rPr>
        <w:t xml:space="preserve"> relativa a su experiencia previa, considerando el objeto de l</w:t>
      </w:r>
      <w:r w:rsidR="00AF1C92">
        <w:rPr>
          <w:rFonts w:ascii="Book Antiqua" w:hAnsi="Book Antiqua"/>
          <w:b w:val="0"/>
          <w:bCs/>
          <w:sz w:val="22"/>
          <w:szCs w:val="22"/>
          <w:u w:val="single"/>
        </w:rPr>
        <w:t>os servicios</w:t>
      </w:r>
      <w:r w:rsidR="00B431D5" w:rsidRPr="00F23FAD">
        <w:rPr>
          <w:rFonts w:ascii="Book Antiqua" w:hAnsi="Book Antiqua"/>
          <w:b w:val="0"/>
          <w:bCs/>
          <w:sz w:val="22"/>
          <w:szCs w:val="22"/>
        </w:rPr>
        <w:t xml:space="preserve">. A los fines de expresar interés se sugiere presentar: </w:t>
      </w:r>
    </w:p>
    <w:p w14:paraId="3A95D02F" w14:textId="77777777" w:rsidR="00B431D5" w:rsidRPr="00F23FAD" w:rsidRDefault="00B431D5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16D695EC" w14:textId="392597EC" w:rsidR="00DA3B31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color w:val="000000"/>
          <w:sz w:val="20"/>
          <w:szCs w:val="20"/>
          <w:lang w:val="es-DO"/>
        </w:rPr>
        <w:t>Formulario de Información sobre el(la) Oferente</w:t>
      </w:r>
    </w:p>
    <w:p w14:paraId="6308AF96" w14:textId="6CA5385F" w:rsidR="008B483D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Formulario de Presentación de Oferta</w:t>
      </w:r>
    </w:p>
    <w:p w14:paraId="0E6DA929" w14:textId="63DE39BB" w:rsidR="008B483D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Certificación de la DGII</w:t>
      </w:r>
    </w:p>
    <w:p w14:paraId="0AFDBDFC" w14:textId="707A72FF" w:rsidR="008B483D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Certificación</w:t>
      </w:r>
      <w:r w:rsidR="008B483D" w:rsidRPr="00EF61BA">
        <w:rPr>
          <w:rFonts w:ascii="Book Antiqua" w:hAnsi="Book Antiqua"/>
          <w:i/>
          <w:iCs/>
          <w:sz w:val="20"/>
          <w:szCs w:val="20"/>
          <w:lang w:val="es-DO"/>
        </w:rPr>
        <w:t xml:space="preserve"> de la TSS</w:t>
      </w:r>
    </w:p>
    <w:p w14:paraId="260214AB" w14:textId="359B0FF3" w:rsidR="008B483D" w:rsidRPr="00EF61BA" w:rsidRDefault="008B483D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Registro Mercantil</w:t>
      </w:r>
    </w:p>
    <w:p w14:paraId="6CD49776" w14:textId="40ED9579" w:rsidR="008B483D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RPE</w:t>
      </w:r>
    </w:p>
    <w:p w14:paraId="0C907AB4" w14:textId="7E64B571" w:rsidR="008B483D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Copia de la nómina de accionistas y acta de la última asamblea</w:t>
      </w:r>
    </w:p>
    <w:p w14:paraId="30425B13" w14:textId="67930446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lastRenderedPageBreak/>
        <w:t>Formulario de Compromiso ético de proveedores (as) del Estado</w:t>
      </w:r>
      <w:r w:rsidRPr="00EF61BA">
        <w:rPr>
          <w:rFonts w:ascii="Book Antiqua" w:hAnsi="Book Antiqua"/>
          <w:i/>
          <w:iCs/>
          <w:sz w:val="20"/>
          <w:szCs w:val="20"/>
          <w:vertAlign w:val="superscript"/>
          <w:lang w:val="es-DO"/>
        </w:rPr>
        <w:footnoteReference w:id="2"/>
      </w:r>
      <w:r w:rsidRPr="00EF61BA">
        <w:rPr>
          <w:rFonts w:ascii="Book Antiqua" w:hAnsi="Book Antiqua"/>
          <w:i/>
          <w:iCs/>
          <w:sz w:val="20"/>
          <w:szCs w:val="20"/>
          <w:lang w:val="es-DO"/>
        </w:rPr>
        <w:t xml:space="preserve"> debidamente firmado y sellado</w:t>
      </w:r>
    </w:p>
    <w:p w14:paraId="32768BD3" w14:textId="323449F2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Formulario debida diligencia DC-MI-01-F02.</w:t>
      </w:r>
    </w:p>
    <w:p w14:paraId="58675BDF" w14:textId="49385085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sz w:val="20"/>
          <w:szCs w:val="20"/>
          <w:lang w:val="es-DO"/>
        </w:rPr>
        <w:t>Declaración jurada simple</w:t>
      </w:r>
    </w:p>
    <w:p w14:paraId="56644817" w14:textId="602E6D86" w:rsidR="00EF61BA" w:rsidRPr="00EF61BA" w:rsidRDefault="00EF61BA" w:rsidP="008B483D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iCs/>
          <w:sz w:val="22"/>
          <w:szCs w:val="22"/>
        </w:rPr>
      </w:pPr>
      <w:r w:rsidRPr="00EF61BA">
        <w:rPr>
          <w:rFonts w:ascii="Book Antiqua" w:hAnsi="Book Antiqua"/>
          <w:i/>
          <w:iCs/>
          <w:color w:val="0D0D0D"/>
          <w:sz w:val="20"/>
          <w:szCs w:val="20"/>
          <w:lang w:val="es-DO"/>
        </w:rPr>
        <w:t>Poder de representación</w:t>
      </w:r>
    </w:p>
    <w:p w14:paraId="5BCEA0E2" w14:textId="77777777" w:rsidR="00EF61BA" w:rsidRPr="00D20F3E" w:rsidRDefault="00EF61BA" w:rsidP="00EF61BA">
      <w:pPr>
        <w:pStyle w:val="Prrafodelista"/>
        <w:ind w:left="1440"/>
        <w:jc w:val="both"/>
        <w:rPr>
          <w:rFonts w:ascii="Book Antiqua" w:hAnsi="Book Antiqua"/>
          <w:b w:val="0"/>
          <w:bCs/>
          <w:i/>
          <w:iCs/>
          <w:sz w:val="22"/>
          <w:szCs w:val="22"/>
        </w:rPr>
      </w:pPr>
    </w:p>
    <w:p w14:paraId="502A9E35" w14:textId="1EB3F6CF" w:rsidR="00B431D5" w:rsidRDefault="0026405F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  <w:lang w:val="es-DO"/>
        </w:rPr>
      </w:pPr>
      <w:r>
        <w:rPr>
          <w:rFonts w:ascii="Book Antiqua" w:hAnsi="Book Antiqua"/>
          <w:b w:val="0"/>
          <w:bCs/>
          <w:sz w:val="22"/>
          <w:szCs w:val="22"/>
          <w:lang w:val="es-DO"/>
        </w:rPr>
        <w:t>L</w:t>
      </w:r>
      <w:r w:rsidRPr="0026405F">
        <w:rPr>
          <w:rFonts w:ascii="Book Antiqua" w:hAnsi="Book Antiqua"/>
          <w:b w:val="0"/>
          <w:bCs/>
          <w:sz w:val="22"/>
          <w:szCs w:val="22"/>
          <w:lang w:val="es-DO"/>
        </w:rPr>
        <w:t xml:space="preserve">os consorcios deberán presentar un </w:t>
      </w:r>
      <w:r w:rsidRPr="0026405F">
        <w:rPr>
          <w:rFonts w:ascii="Book Antiqua" w:hAnsi="Book Antiqua"/>
          <w:bCs/>
          <w:sz w:val="22"/>
          <w:szCs w:val="22"/>
          <w:lang w:val="es-DO"/>
        </w:rPr>
        <w:t>Acuerdo o Promesa de consorcio</w:t>
      </w:r>
      <w:r w:rsidRPr="0026405F">
        <w:rPr>
          <w:rFonts w:ascii="Book Antiqua" w:hAnsi="Book Antiqua"/>
          <w:b w:val="0"/>
          <w:bCs/>
          <w:sz w:val="22"/>
          <w:szCs w:val="22"/>
          <w:lang w:val="es-DO"/>
        </w:rPr>
        <w:t>, el cual debe incluir: Las generales actualizadas de los (as) consorciados (as): El objeto del consorcio,  las partes que lo integran; Las obligaciones de las partes; La capacidad de ejercicio de cada miembro del consorcio, así como la solvencia económica y financiera y la idoneidad técnica y profesional; Designación del(la) representante o gerente único(a) del consorcio; Reconocer la responsabilidad solidaria de los(as) integrantes por los actos practicados en el consorcio, tanto en la fase de selección, como en la de ejecución del contrato; Hacer constar que las personas físicas y/ o jurídicas que lo componen no presentarán ofertas en forma individual o como integrantes de otro consorcio, siempre que se tratare del mismo objeto de la contratación</w:t>
      </w:r>
    </w:p>
    <w:p w14:paraId="50C843CE" w14:textId="1FD109B0" w:rsidR="00B431D5" w:rsidRPr="0026405F" w:rsidRDefault="00B431D5" w:rsidP="00B431D5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sz w:val="22"/>
          <w:szCs w:val="22"/>
        </w:rPr>
      </w:pPr>
    </w:p>
    <w:p w14:paraId="4ECFBDE6" w14:textId="22337CC6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 xml:space="preserve">Los(as) oferentes deberán presentar sus propuestas en formato digital a través de las siguientes direcciones de correo electrónico: </w:t>
      </w:r>
      <w:hyperlink r:id="rId10" w:history="1">
        <w:r w:rsidRPr="006873A6">
          <w:rPr>
            <w:rStyle w:val="Hipervnculo"/>
            <w:rFonts w:ascii="Book Antiqua" w:hAnsi="Book Antiqua"/>
            <w:b w:val="0"/>
            <w:bCs/>
            <w:sz w:val="22"/>
            <w:szCs w:val="22"/>
            <w:lang w:val="es-DO"/>
          </w:rPr>
          <w:t>adquisicionesaps@hacienda.gov.do</w:t>
        </w:r>
      </w:hyperlink>
      <w:r w:rsidRPr="006873A6">
        <w:rPr>
          <w:rFonts w:ascii="Book Antiqua" w:hAnsi="Book Antiqua"/>
          <w:b w:val="0"/>
          <w:bCs/>
          <w:sz w:val="22"/>
          <w:szCs w:val="22"/>
          <w:u w:val="single"/>
          <w:lang w:val="es-DO"/>
        </w:rPr>
        <w:t>,</w:t>
      </w:r>
      <w:r>
        <w:rPr>
          <w:rFonts w:ascii="Book Antiqua" w:hAnsi="Book Antiqua"/>
          <w:b w:val="0"/>
          <w:bCs/>
          <w:sz w:val="22"/>
          <w:szCs w:val="22"/>
          <w:lang w:val="es-DO"/>
        </w:rPr>
        <w:t xml:space="preserve"> </w:t>
      </w:r>
      <w:hyperlink r:id="rId11" w:history="1">
        <w:r w:rsidRPr="00A56AC8">
          <w:rPr>
            <w:rStyle w:val="Hipervnculo"/>
            <w:rFonts w:ascii="Book Antiqua" w:hAnsi="Book Antiqua"/>
            <w:b w:val="0"/>
            <w:bCs/>
            <w:sz w:val="22"/>
            <w:szCs w:val="22"/>
            <w:lang w:val="es-DO"/>
          </w:rPr>
          <w:t>maxcontreras@hacienda.gov.do</w:t>
        </w:r>
      </w:hyperlink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, o</w:t>
      </w:r>
      <w:r w:rsidRPr="006873A6">
        <w:rPr>
          <w:rFonts w:ascii="Book Antiqua" w:hAnsi="Book Antiqua"/>
          <w:bCs/>
          <w:sz w:val="22"/>
          <w:szCs w:val="22"/>
          <w:lang w:val="es-DO"/>
        </w:rPr>
        <w:t xml:space="preserve"> físicamente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 xml:space="preserve"> en la fecha y hora fijadas en el cronograma de actividades de este </w:t>
      </w:r>
      <w:r>
        <w:rPr>
          <w:rFonts w:ascii="Book Antiqua" w:hAnsi="Book Antiqua"/>
          <w:b w:val="0"/>
          <w:bCs/>
          <w:sz w:val="22"/>
          <w:szCs w:val="22"/>
          <w:lang w:val="es-DO"/>
        </w:rPr>
        <w:t>SDC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, ante la institución contratante, en la siguiente ubicación:</w:t>
      </w:r>
    </w:p>
    <w:p w14:paraId="12B4F706" w14:textId="77777777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Cs/>
          <w:sz w:val="22"/>
          <w:szCs w:val="22"/>
          <w:lang w:val="es-DO"/>
        </w:rPr>
      </w:pPr>
    </w:p>
    <w:p w14:paraId="1B4BA04A" w14:textId="34CC5D05" w:rsid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Cs/>
          <w:sz w:val="22"/>
          <w:szCs w:val="22"/>
          <w:lang w:val="es-DO"/>
        </w:rPr>
        <w:tab/>
      </w:r>
      <w:r w:rsidRPr="006873A6">
        <w:rPr>
          <w:rFonts w:ascii="Book Antiqua" w:hAnsi="Book Antiqua"/>
          <w:bCs/>
          <w:sz w:val="22"/>
          <w:szCs w:val="22"/>
          <w:lang w:val="es-DO"/>
        </w:rPr>
        <w:tab/>
      </w:r>
    </w:p>
    <w:p w14:paraId="43756C2F" w14:textId="50A43686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Cs/>
          <w:sz w:val="22"/>
          <w:szCs w:val="22"/>
          <w:lang w:val="es-DO"/>
        </w:rPr>
        <w:t>Ministerio de</w:t>
      </w:r>
      <w:r>
        <w:rPr>
          <w:rFonts w:ascii="Book Antiqua" w:hAnsi="Book Antiqua"/>
          <w:bCs/>
          <w:sz w:val="22"/>
          <w:szCs w:val="22"/>
          <w:lang w:val="es-DO"/>
        </w:rPr>
        <w:t xml:space="preserve">    </w:t>
      </w:r>
      <w:r w:rsidRPr="006873A6">
        <w:rPr>
          <w:rFonts w:ascii="Book Antiqua" w:hAnsi="Book Antiqua"/>
          <w:bCs/>
          <w:sz w:val="22"/>
          <w:szCs w:val="22"/>
          <w:lang w:val="es-DO"/>
        </w:rPr>
        <w:t>Hacienda y Economía</w:t>
      </w:r>
    </w:p>
    <w:p w14:paraId="0AC41A19" w14:textId="77777777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Cs/>
          <w:sz w:val="22"/>
          <w:szCs w:val="22"/>
          <w:lang w:val="es-DO"/>
        </w:rPr>
        <w:t xml:space="preserve">Programa de Modernización del Sector Agua Potable y Saneamiento 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 xml:space="preserve"> </w:t>
      </w:r>
    </w:p>
    <w:p w14:paraId="2029EE73" w14:textId="77777777" w:rsidR="006873A6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A la atención de: Unidad de Adquisiciones UGCP</w:t>
      </w:r>
    </w:p>
    <w:p w14:paraId="78A79A42" w14:textId="03AD828E" w:rsidR="004F55A0" w:rsidRPr="006873A6" w:rsidRDefault="006873A6" w:rsidP="006873A6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b w:val="0"/>
          <w:bCs/>
          <w:sz w:val="22"/>
          <w:szCs w:val="22"/>
          <w:lang w:val="es-DO"/>
        </w:rPr>
      </w:pP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t>Av. México No. 45, esq. Dr. Delgado, Distrito Nacional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br/>
        <w:t>Edificio de las Oficinas Gubernamentales, Bloque B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br/>
        <w:t>Santo Domingo, D.N., República Dominicana</w:t>
      </w:r>
      <w:r w:rsidRPr="006873A6">
        <w:rPr>
          <w:rFonts w:ascii="Book Antiqua" w:hAnsi="Book Antiqua"/>
          <w:b w:val="0"/>
          <w:bCs/>
          <w:sz w:val="22"/>
          <w:szCs w:val="22"/>
          <w:lang w:val="es-DO"/>
        </w:rPr>
        <w:br/>
        <w:t>Tel. 809-688-7000 Ext. 3135</w:t>
      </w:r>
    </w:p>
    <w:p w14:paraId="2C14D8AF" w14:textId="77777777" w:rsidR="00A43B20" w:rsidRPr="00A43B20" w:rsidRDefault="00A43B20" w:rsidP="00A95C85">
      <w:pPr>
        <w:tabs>
          <w:tab w:val="left" w:pos="6833"/>
        </w:tabs>
        <w:autoSpaceDE w:val="0"/>
        <w:autoSpaceDN w:val="0"/>
        <w:adjustRightInd w:val="0"/>
        <w:contextualSpacing/>
        <w:rPr>
          <w:rFonts w:ascii="Book Antiqua" w:hAnsi="Book Antiqua"/>
          <w:sz w:val="22"/>
          <w:szCs w:val="22"/>
        </w:rPr>
      </w:pPr>
    </w:p>
    <w:sectPr w:rsidR="00A43B20" w:rsidRPr="00A43B20" w:rsidSect="00F91177">
      <w:headerReference w:type="even" r:id="rId12"/>
      <w:headerReference w:type="default" r:id="rId13"/>
      <w:footerReference w:type="even" r:id="rId14"/>
      <w:footerReference w:type="default" r:id="rId15"/>
      <w:pgSz w:w="12242" w:h="15842" w:code="1"/>
      <w:pgMar w:top="1440" w:right="1440" w:bottom="1440" w:left="1440" w:header="64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91E45" w14:textId="77777777" w:rsidR="00292350" w:rsidRDefault="00292350" w:rsidP="00B431D5">
      <w:r>
        <w:separator/>
      </w:r>
    </w:p>
  </w:endnote>
  <w:endnote w:type="continuationSeparator" w:id="0">
    <w:p w14:paraId="5111B406" w14:textId="77777777" w:rsidR="00292350" w:rsidRDefault="00292350" w:rsidP="00B431D5">
      <w:r>
        <w:continuationSeparator/>
      </w:r>
    </w:p>
  </w:endnote>
  <w:endnote w:type="continuationNotice" w:id="1">
    <w:p w14:paraId="01F43BD9" w14:textId="77777777" w:rsidR="00292350" w:rsidRDefault="00292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4C69" w14:textId="77777777" w:rsidR="00F06CBD" w:rsidRDefault="00C20DB8" w:rsidP="00F06C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0E35" w14:textId="423C98E0" w:rsidR="00F06CBD" w:rsidRPr="00CB7870" w:rsidRDefault="00F06CBD" w:rsidP="00F06CBD">
    <w:pPr>
      <w:pStyle w:val="Piedepgina"/>
      <w:tabs>
        <w:tab w:val="clear" w:pos="4252"/>
        <w:tab w:val="clear" w:pos="8504"/>
        <w:tab w:val="left" w:pos="10065"/>
      </w:tabs>
      <w:ind w:left="-709" w:right="2274"/>
      <w:rPr>
        <w:b w:val="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E3D23" w14:textId="77777777" w:rsidR="00292350" w:rsidRDefault="00292350" w:rsidP="00B431D5">
      <w:r>
        <w:separator/>
      </w:r>
    </w:p>
  </w:footnote>
  <w:footnote w:type="continuationSeparator" w:id="0">
    <w:p w14:paraId="35DCD473" w14:textId="77777777" w:rsidR="00292350" w:rsidRDefault="00292350" w:rsidP="00B431D5">
      <w:r>
        <w:continuationSeparator/>
      </w:r>
    </w:p>
  </w:footnote>
  <w:footnote w:type="continuationNotice" w:id="1">
    <w:p w14:paraId="6B3BF263" w14:textId="77777777" w:rsidR="00292350" w:rsidRDefault="00292350"/>
  </w:footnote>
  <w:footnote w:id="2">
    <w:p w14:paraId="0E17EDAA" w14:textId="77777777" w:rsidR="00EF61BA" w:rsidRPr="00803E52" w:rsidRDefault="00EF61BA" w:rsidP="00EF61BA">
      <w:pPr>
        <w:pStyle w:val="Textonotapie"/>
        <w:jc w:val="both"/>
        <w:rPr>
          <w:rFonts w:ascii="Book Antiqua" w:hAnsi="Book Antiqua"/>
          <w:sz w:val="18"/>
          <w:szCs w:val="18"/>
        </w:rPr>
      </w:pPr>
      <w:r w:rsidRPr="005122B5">
        <w:rPr>
          <w:rStyle w:val="Refdenotaalpie"/>
          <w:rFonts w:ascii="Book Antiqua" w:hAnsi="Book Antiqua"/>
          <w:sz w:val="18"/>
          <w:szCs w:val="18"/>
        </w:rPr>
        <w:footnoteRef/>
      </w:r>
      <w:r w:rsidRPr="005122B5">
        <w:rPr>
          <w:rFonts w:ascii="Book Antiqua" w:hAnsi="Book Antiqua"/>
          <w:sz w:val="18"/>
          <w:szCs w:val="18"/>
        </w:rPr>
        <w:t xml:space="preserve"> Para participar en este procedimiento, es un requisito indispensable que los(as) oferentes suscriban y entreguen junto a su oferta, el documento “compromiso ético de proveedores(as) del Estado”, que consta como anexo en el presente pliego de condiciones. De no ser presentado junto a su oferta, podrá ser incluido en la fase de subsanación prevista en el cronograma de actividades; vencido este plazo sin haberlo acreditado, su oferta será descalificada haciéndose constar en el informe de evaluación que deberá ser emitido en el marco del procedimiento.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B38D" w14:textId="77777777" w:rsidR="00F06CBD" w:rsidRDefault="00C20DB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8D13D10" wp14:editId="7E2058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289290" cy="720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8289290" cy="720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47ABE" w14:textId="77777777" w:rsidR="00F06CBD" w:rsidRDefault="00C20DB8" w:rsidP="00F06CBD">
                          <w:pPr>
                            <w:jc w:val="center"/>
                            <w:rPr>
                              <w:color w:val="FF0000"/>
                              <w:sz w:val="16"/>
                              <w:szCs w:val="16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 - Confidencial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8D13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52.7pt;height:56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02/0wEAAIgDAAAOAAAAZHJzL2Uyb0RvYy54bWysU99v0zAQfkfif7D8TpNGGmujptNggpcB&#10;k7Zpz65jt4HYZ+7cJv3vObtZi+ANkQcr8Z0/fz8uq5vR9eJgkDrwjZzPSimM19B2ftvI56dP7xZS&#10;UFS+VT1408ijIXmzfvtmNYTaVLCDvjUoGMRTPYRG7mIMdVGQ3hmnaAbBeC5aQKcif+K2aFENjO76&#10;oirL98UA2AYEbYh49+5UlOuMb63R8Zu1ZKLoG8ncYl4xr5u0FuuVqreowq7TEw31Dyyc6jxfeoa6&#10;U1GJPXZ/QblOIxDYONPgCrC20yZrYDXz8g81jzsVTNbC5lA420T/D1Z/PTyGBxRx/AAjB5hFULgH&#10;/YPYm2IIVE89yVOqKXVvhi/QcppqHyGfGC06gcD2zhfLMj15m/UJRmXjj2ezzRiF5s1FtVhWSy5p&#10;rl1X5XV1ldIoVJ3AkpcBKX424ER6aSRymBlVHe4pnlpfWyamidyJZhw3I7ckxhtoj8x54JAbST/3&#10;Co0Ufu8+As/EXAqL4F54im4x0c83JNin8UVhmO6OzPqhfw05E8hpt8Irl4xovzOQ63l2DqoXV9mB&#10;E8WpmXVdUNNZD7fsnu2ykgvPSQnHnb2YRjPN0+/fuevyA61/AQAA//8DAFBLAwQUAAYACAAAACEA&#10;hitmRtoAAAAGAQAADwAAAGRycy9kb3ducmV2LnhtbEyPzU7DMBCE70i8g7VI3KjTn0CbxqkQElcE&#10;hQdw480PtXcj221Dnx6XC72sZjWrmW/LzeisOKIPPZOC6SQDgVSz6alV8PX5+rAEEaImoy0TKvjB&#10;AJvq9qbUheETfeBxG1uRQigUWkEX41BIGeoOnQ4THpCS17B3OqbVt9J4fUrhzspZlj1Kp3tKDZ0e&#10;8KXDer89OAV2sX9/mjVm5fPvVeNZnt8kn5W6vxuf1yAijvH/GC74CR2qxLTjA5kgrIL0SPybF2+e&#10;5QsQu6Sm8xxkVcpr/OoXAAD//wMAUEsBAi0AFAAGAAgAAAAhALaDOJL+AAAA4QEAABMAAAAAAAAA&#10;AAAAAAAAAAAAAFtDb250ZW50X1R5cGVzXS54bWxQSwECLQAUAAYACAAAACEAOP0h/9YAAACUAQAA&#10;CwAAAAAAAAAAAAAAAAAvAQAAX3JlbHMvLnJlbHNQSwECLQAUAAYACAAAACEAe+dNv9MBAACIAwAA&#10;DgAAAAAAAAAAAAAAAAAuAgAAZHJzL2Uyb0RvYy54bWxQSwECLQAUAAYACAAAACEAhitmRtoAAAAG&#10;AQAADwAAAAAAAAAAAAAAAAAtBAAAZHJzL2Rvd25yZXYueG1sUEsFBgAAAAAEAAQA8wAAADQFAAAA&#10;AA==&#10;" o:allowincell="f" filled="f" stroked="f">
              <v:stroke joinstyle="round"/>
              <v:path arrowok="t"/>
              <v:textbox>
                <w:txbxContent>
                  <w:p w14:paraId="04347ABE" w14:textId="77777777" w:rsidR="00F06CBD" w:rsidRDefault="00C20DB8" w:rsidP="00F06CBD">
                    <w:pPr>
                      <w:jc w:val="center"/>
                      <w:rPr>
                        <w:color w:val="FF0000"/>
                        <w:sz w:val="16"/>
                        <w:szCs w:val="16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FF0000"/>
                        <w:sz w:val="16"/>
                        <w:szCs w:val="16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BORRADOR - Confidencial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910A" w14:textId="3A4FDEF6" w:rsidR="00F06CBD" w:rsidRDefault="00EF61BA" w:rsidP="00F06CBD">
    <w:pPr>
      <w:pStyle w:val="Encabezado"/>
      <w:spacing w:before="100" w:beforeAutospacing="1"/>
      <w:jc w:val="center"/>
      <w:rPr>
        <w:rFonts w:ascii="Edwardian Script ITC" w:hAnsi="Edwardian Script ITC"/>
        <w:sz w:val="66"/>
        <w:szCs w:val="6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08E7866" wp14:editId="3A4D3570">
          <wp:simplePos x="0" y="0"/>
          <wp:positionH relativeFrom="column">
            <wp:posOffset>5343525</wp:posOffset>
          </wp:positionH>
          <wp:positionV relativeFrom="paragraph">
            <wp:posOffset>7620</wp:posOffset>
          </wp:positionV>
          <wp:extent cx="1047750" cy="381000"/>
          <wp:effectExtent l="0" t="0" r="0" b="0"/>
          <wp:wrapNone/>
          <wp:docPr id="461347353" name="Picture 709" descr="File:Grupo Banco Mundial (Imagotipo)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47353" name="Picture 709" descr="File:Grupo Banco Mundial (Imagotipo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955">
      <w:rPr>
        <w:rFonts w:ascii="Aptos" w:eastAsia="Aptos" w:hAnsi="Aptos" w:cs="Aptos"/>
        <w:noProof/>
        <w:color w:val="000000"/>
        <w:lang w:val="es" w:eastAsia="es-DO"/>
      </w:rPr>
      <w:drawing>
        <wp:anchor distT="0" distB="0" distL="114300" distR="114300" simplePos="0" relativeHeight="251664384" behindDoc="0" locked="0" layoutInCell="1" allowOverlap="1" wp14:anchorId="1539839A" wp14:editId="1A69BC2D">
          <wp:simplePos x="0" y="0"/>
          <wp:positionH relativeFrom="column">
            <wp:posOffset>1828800</wp:posOffset>
          </wp:positionH>
          <wp:positionV relativeFrom="paragraph">
            <wp:posOffset>-287655</wp:posOffset>
          </wp:positionV>
          <wp:extent cx="1809750" cy="838200"/>
          <wp:effectExtent l="0" t="0" r="0" b="0"/>
          <wp:wrapNone/>
          <wp:docPr id="76103406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4837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7FD4A" w14:textId="77777777" w:rsidR="00F06CBD" w:rsidRPr="0065038F" w:rsidRDefault="00F06CBD" w:rsidP="00F06CBD">
    <w:pPr>
      <w:tabs>
        <w:tab w:val="center" w:pos="4419"/>
        <w:tab w:val="right" w:pos="8838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50F6"/>
    <w:multiLevelType w:val="hybridMultilevel"/>
    <w:tmpl w:val="8814FDFC"/>
    <w:lvl w:ilvl="0" w:tplc="1708FF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2F6B"/>
    <w:multiLevelType w:val="hybridMultilevel"/>
    <w:tmpl w:val="8E1EBB7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FB7268"/>
    <w:multiLevelType w:val="hybridMultilevel"/>
    <w:tmpl w:val="6BF28054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9C3401"/>
    <w:multiLevelType w:val="hybridMultilevel"/>
    <w:tmpl w:val="08B8F38E"/>
    <w:lvl w:ilvl="0" w:tplc="F5685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D5"/>
    <w:rsid w:val="00002538"/>
    <w:rsid w:val="000110B6"/>
    <w:rsid w:val="00024705"/>
    <w:rsid w:val="00043AB6"/>
    <w:rsid w:val="0004723C"/>
    <w:rsid w:val="0005031B"/>
    <w:rsid w:val="00054AA5"/>
    <w:rsid w:val="00055622"/>
    <w:rsid w:val="0005682E"/>
    <w:rsid w:val="00065E8C"/>
    <w:rsid w:val="00081B3C"/>
    <w:rsid w:val="0008226D"/>
    <w:rsid w:val="00085754"/>
    <w:rsid w:val="000B2AB7"/>
    <w:rsid w:val="000E24D3"/>
    <w:rsid w:val="000E67FB"/>
    <w:rsid w:val="00116D9B"/>
    <w:rsid w:val="00125EA2"/>
    <w:rsid w:val="00134B5F"/>
    <w:rsid w:val="001422B6"/>
    <w:rsid w:val="00173015"/>
    <w:rsid w:val="00176892"/>
    <w:rsid w:val="001901E9"/>
    <w:rsid w:val="001C4D41"/>
    <w:rsid w:val="001C5251"/>
    <w:rsid w:val="001D7CBC"/>
    <w:rsid w:val="001E06FC"/>
    <w:rsid w:val="00200CE8"/>
    <w:rsid w:val="00205568"/>
    <w:rsid w:val="0026405F"/>
    <w:rsid w:val="002663AB"/>
    <w:rsid w:val="00285333"/>
    <w:rsid w:val="002905C6"/>
    <w:rsid w:val="00292350"/>
    <w:rsid w:val="00297011"/>
    <w:rsid w:val="002A169A"/>
    <w:rsid w:val="002A1F4E"/>
    <w:rsid w:val="002B4AA7"/>
    <w:rsid w:val="002C1F68"/>
    <w:rsid w:val="002C3489"/>
    <w:rsid w:val="002C3989"/>
    <w:rsid w:val="002F4619"/>
    <w:rsid w:val="00310EC1"/>
    <w:rsid w:val="00325F88"/>
    <w:rsid w:val="00344CCE"/>
    <w:rsid w:val="003758AB"/>
    <w:rsid w:val="003A6688"/>
    <w:rsid w:val="003B1A3F"/>
    <w:rsid w:val="003C6B5E"/>
    <w:rsid w:val="003D66F4"/>
    <w:rsid w:val="003E5BF1"/>
    <w:rsid w:val="003F5781"/>
    <w:rsid w:val="003F7EC7"/>
    <w:rsid w:val="00422C4D"/>
    <w:rsid w:val="0045696C"/>
    <w:rsid w:val="004A020F"/>
    <w:rsid w:val="004E17CA"/>
    <w:rsid w:val="004E2440"/>
    <w:rsid w:val="004F1435"/>
    <w:rsid w:val="004F4A3F"/>
    <w:rsid w:val="004F55A0"/>
    <w:rsid w:val="004F5703"/>
    <w:rsid w:val="00512861"/>
    <w:rsid w:val="005232CD"/>
    <w:rsid w:val="005267A5"/>
    <w:rsid w:val="005708EA"/>
    <w:rsid w:val="0057290B"/>
    <w:rsid w:val="00577F38"/>
    <w:rsid w:val="00593D81"/>
    <w:rsid w:val="005A30AB"/>
    <w:rsid w:val="005A568C"/>
    <w:rsid w:val="005B05AA"/>
    <w:rsid w:val="005B118B"/>
    <w:rsid w:val="005D28DA"/>
    <w:rsid w:val="005E3B97"/>
    <w:rsid w:val="005F6212"/>
    <w:rsid w:val="0064226C"/>
    <w:rsid w:val="00653B5A"/>
    <w:rsid w:val="00654FB3"/>
    <w:rsid w:val="00663F42"/>
    <w:rsid w:val="006873A6"/>
    <w:rsid w:val="0069478A"/>
    <w:rsid w:val="006B410D"/>
    <w:rsid w:val="006C2D17"/>
    <w:rsid w:val="006C34F4"/>
    <w:rsid w:val="006D6240"/>
    <w:rsid w:val="006E35A3"/>
    <w:rsid w:val="0071764C"/>
    <w:rsid w:val="00717AA7"/>
    <w:rsid w:val="007251F8"/>
    <w:rsid w:val="00726A3E"/>
    <w:rsid w:val="00750948"/>
    <w:rsid w:val="00761E3E"/>
    <w:rsid w:val="007630A2"/>
    <w:rsid w:val="007704D4"/>
    <w:rsid w:val="00783C28"/>
    <w:rsid w:val="007B093A"/>
    <w:rsid w:val="007C053F"/>
    <w:rsid w:val="007D1D76"/>
    <w:rsid w:val="007D47AB"/>
    <w:rsid w:val="007E2CF5"/>
    <w:rsid w:val="007F2664"/>
    <w:rsid w:val="00826774"/>
    <w:rsid w:val="008410A6"/>
    <w:rsid w:val="00853FDA"/>
    <w:rsid w:val="008570A9"/>
    <w:rsid w:val="00870F25"/>
    <w:rsid w:val="00872C4F"/>
    <w:rsid w:val="008761DD"/>
    <w:rsid w:val="00886081"/>
    <w:rsid w:val="008B483D"/>
    <w:rsid w:val="008D3D20"/>
    <w:rsid w:val="008D578C"/>
    <w:rsid w:val="00904B27"/>
    <w:rsid w:val="00914D34"/>
    <w:rsid w:val="00917F27"/>
    <w:rsid w:val="0094771D"/>
    <w:rsid w:val="00976042"/>
    <w:rsid w:val="0098529D"/>
    <w:rsid w:val="009A6341"/>
    <w:rsid w:val="009B049F"/>
    <w:rsid w:val="009B3929"/>
    <w:rsid w:val="009B5EBC"/>
    <w:rsid w:val="009B77F5"/>
    <w:rsid w:val="009C5ACE"/>
    <w:rsid w:val="009E6146"/>
    <w:rsid w:val="00A054F4"/>
    <w:rsid w:val="00A0599F"/>
    <w:rsid w:val="00A25A17"/>
    <w:rsid w:val="00A2744F"/>
    <w:rsid w:val="00A43B20"/>
    <w:rsid w:val="00A44CBB"/>
    <w:rsid w:val="00A77069"/>
    <w:rsid w:val="00A95C85"/>
    <w:rsid w:val="00A97555"/>
    <w:rsid w:val="00AA24FA"/>
    <w:rsid w:val="00AB2084"/>
    <w:rsid w:val="00AC2B0E"/>
    <w:rsid w:val="00AF1C92"/>
    <w:rsid w:val="00B06676"/>
    <w:rsid w:val="00B15B4A"/>
    <w:rsid w:val="00B22D76"/>
    <w:rsid w:val="00B431D5"/>
    <w:rsid w:val="00B9307A"/>
    <w:rsid w:val="00BE146A"/>
    <w:rsid w:val="00BF556E"/>
    <w:rsid w:val="00C022FE"/>
    <w:rsid w:val="00C042E8"/>
    <w:rsid w:val="00C04E3A"/>
    <w:rsid w:val="00C20DB8"/>
    <w:rsid w:val="00C25939"/>
    <w:rsid w:val="00C26ADC"/>
    <w:rsid w:val="00C27F08"/>
    <w:rsid w:val="00C4191B"/>
    <w:rsid w:val="00C432DB"/>
    <w:rsid w:val="00C507F8"/>
    <w:rsid w:val="00C53CBF"/>
    <w:rsid w:val="00C61C03"/>
    <w:rsid w:val="00C62568"/>
    <w:rsid w:val="00C656E8"/>
    <w:rsid w:val="00C81AC1"/>
    <w:rsid w:val="00C82B5E"/>
    <w:rsid w:val="00CA15A2"/>
    <w:rsid w:val="00CC008D"/>
    <w:rsid w:val="00CD20FD"/>
    <w:rsid w:val="00CD6644"/>
    <w:rsid w:val="00CE4519"/>
    <w:rsid w:val="00CE51D9"/>
    <w:rsid w:val="00CF518D"/>
    <w:rsid w:val="00D05196"/>
    <w:rsid w:val="00D20F3E"/>
    <w:rsid w:val="00D4224B"/>
    <w:rsid w:val="00D73DC8"/>
    <w:rsid w:val="00D80D9B"/>
    <w:rsid w:val="00D84089"/>
    <w:rsid w:val="00D90966"/>
    <w:rsid w:val="00D9153E"/>
    <w:rsid w:val="00DA1327"/>
    <w:rsid w:val="00DA3B31"/>
    <w:rsid w:val="00DB057B"/>
    <w:rsid w:val="00DB5298"/>
    <w:rsid w:val="00DC4955"/>
    <w:rsid w:val="00DC4BD6"/>
    <w:rsid w:val="00E1505F"/>
    <w:rsid w:val="00E31501"/>
    <w:rsid w:val="00E40AA8"/>
    <w:rsid w:val="00E477B8"/>
    <w:rsid w:val="00E5082B"/>
    <w:rsid w:val="00E61E54"/>
    <w:rsid w:val="00E70530"/>
    <w:rsid w:val="00E923D4"/>
    <w:rsid w:val="00E96CB7"/>
    <w:rsid w:val="00EB2F6E"/>
    <w:rsid w:val="00EF61BA"/>
    <w:rsid w:val="00F03F0D"/>
    <w:rsid w:val="00F06CBD"/>
    <w:rsid w:val="00F23FAD"/>
    <w:rsid w:val="00F277A3"/>
    <w:rsid w:val="00F413F3"/>
    <w:rsid w:val="00F52CBD"/>
    <w:rsid w:val="00F56FBA"/>
    <w:rsid w:val="00F91177"/>
    <w:rsid w:val="00F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93047"/>
  <w15:chartTrackingRefBased/>
  <w15:docId w15:val="{61000E41-2666-4E93-934C-5EBC3D6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1D5"/>
    <w:rPr>
      <w:rFonts w:ascii="Times New Roman" w:eastAsia="Times New Roman" w:hAnsi="Times New Roman" w:cs="Times New Roman"/>
      <w:b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31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31D5"/>
    <w:rPr>
      <w:rFonts w:ascii="Times New Roman" w:eastAsia="Times New Roman" w:hAnsi="Times New Roman" w:cs="Times New Roman"/>
      <w:b/>
      <w:lang w:val="es-ES" w:eastAsia="es-ES"/>
    </w:rPr>
  </w:style>
  <w:style w:type="paragraph" w:styleId="Piedepgina">
    <w:name w:val="footer"/>
    <w:basedOn w:val="Normal"/>
    <w:link w:val="PiedepginaCar"/>
    <w:rsid w:val="00B431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31D5"/>
    <w:rPr>
      <w:rFonts w:ascii="Times New Roman" w:eastAsia="Times New Roman" w:hAnsi="Times New Roman" w:cs="Times New Roman"/>
      <w:b/>
      <w:lang w:val="es-ES" w:eastAsia="es-ES"/>
    </w:rPr>
  </w:style>
  <w:style w:type="character" w:styleId="Hipervnculo">
    <w:name w:val="Hyperlink"/>
    <w:basedOn w:val="Fuentedeprrafopredeter"/>
    <w:uiPriority w:val="99"/>
    <w:rsid w:val="00B431D5"/>
    <w:rPr>
      <w:color w:val="0000FF"/>
      <w:u w:val="single"/>
    </w:rPr>
  </w:style>
  <w:style w:type="character" w:styleId="Nmerodepgina">
    <w:name w:val="page number"/>
    <w:basedOn w:val="Fuentedeprrafopredeter"/>
    <w:rsid w:val="00B431D5"/>
  </w:style>
  <w:style w:type="paragraph" w:styleId="Prrafodelista">
    <w:name w:val="List Paragraph"/>
    <w:basedOn w:val="Normal"/>
    <w:link w:val="PrrafodelistaCar"/>
    <w:uiPriority w:val="34"/>
    <w:qFormat/>
    <w:rsid w:val="00B431D5"/>
    <w:pPr>
      <w:ind w:left="708"/>
    </w:pPr>
  </w:style>
  <w:style w:type="paragraph" w:styleId="Sinespaciado">
    <w:name w:val="No Spacing"/>
    <w:uiPriority w:val="1"/>
    <w:qFormat/>
    <w:rsid w:val="00B431D5"/>
    <w:rPr>
      <w:rFonts w:ascii="Times New Roman" w:eastAsia="Times New Roman" w:hAnsi="Times New Roman" w:cs="Times New Roman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431D5"/>
    <w:rPr>
      <w:rFonts w:ascii="Times New Roman" w:eastAsia="Times New Roman" w:hAnsi="Times New Roman" w:cs="Times New Roman"/>
      <w:b/>
      <w:lang w:val="es-ES" w:eastAsia="es-ES"/>
    </w:rPr>
  </w:style>
  <w:style w:type="character" w:styleId="Refdenotaalpie">
    <w:name w:val="footnote reference"/>
    <w:aliases w:val="referencia nota al pie,Fußnotenzeichen DISS"/>
    <w:basedOn w:val="Fuentedeprrafopredeter"/>
    <w:rsid w:val="00B431D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B431D5"/>
    <w:rPr>
      <w:rFonts w:ascii="Arial" w:hAnsi="Arial"/>
      <w:b w:val="0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431D5"/>
    <w:rPr>
      <w:rFonts w:ascii="Arial" w:eastAsia="Times New Roman" w:hAnsi="Arial" w:cs="Times New Roman"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95C8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1E5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173015"/>
    <w:rPr>
      <w:rFonts w:ascii="Times New Roman" w:eastAsia="Times New Roman" w:hAnsi="Times New Roman" w:cs="Times New Roman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xcontreras@hacienda.gov.d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quisicionesaps@hacienda.gov.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AED77E1687F54494D6FA83213F5B7A" ma:contentTypeVersion="19" ma:contentTypeDescription="Crear nuevo documento." ma:contentTypeScope="" ma:versionID="a944e6f1df0e374a538f335980af19d7">
  <xsd:schema xmlns:xsd="http://www.w3.org/2001/XMLSchema" xmlns:xs="http://www.w3.org/2001/XMLSchema" xmlns:p="http://schemas.microsoft.com/office/2006/metadata/properties" xmlns:ns2="afec51eb-1246-41b7-9f1c-bf7a3364e981" xmlns:ns3="568dac51-fac9-4f3c-afbf-7e0b19474a51" targetNamespace="http://schemas.microsoft.com/office/2006/metadata/properties" ma:root="true" ma:fieldsID="f4a2f585e2b4d01f66442a13846df2d5" ns2:_="" ns3:_="">
    <xsd:import namespace="afec51eb-1246-41b7-9f1c-bf7a3364e981"/>
    <xsd:import namespace="568dac51-fac9-4f3c-afbf-7e0b19474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c51eb-1246-41b7-9f1c-bf7a3364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dfed123-6d25-4f8d-9a79-53e780515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dac51-fac9-4f3c-afbf-7e0b19474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f32b48-fb35-4c9c-ac99-634f570eb21f}" ma:internalName="TaxCatchAll" ma:showField="CatchAllData" ma:web="568dac51-fac9-4f3c-afbf-7e0b19474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c51eb-1246-41b7-9f1c-bf7a3364e981">
      <Terms xmlns="http://schemas.microsoft.com/office/infopath/2007/PartnerControls"/>
    </lcf76f155ced4ddcb4097134ff3c332f>
    <TaxCatchAll xmlns="568dac51-fac9-4f3c-afbf-7e0b19474a51" xsi:nil="true"/>
    <MediaLengthInSeconds xmlns="afec51eb-1246-41b7-9f1c-bf7a3364e981" xsi:nil="true"/>
    <SharedWithUsers xmlns="568dac51-fac9-4f3c-afbf-7e0b19474a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02E8D2-C0D3-4BA0-A607-BFF112168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c51eb-1246-41b7-9f1c-bf7a3364e981"/>
    <ds:schemaRef ds:uri="568dac51-fac9-4f3c-afbf-7e0b19474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7B2E1-6037-4305-A171-0406EFF85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C172A-7604-4192-AA1B-04F957923DC8}">
  <ds:schemaRefs>
    <ds:schemaRef ds:uri="afec51eb-1246-41b7-9f1c-bf7a3364e98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568dac51-fac9-4f3c-afbf-7e0b19474a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Grullon</dc:creator>
  <cp:keywords/>
  <dc:description/>
  <cp:lastModifiedBy>Maximo Contreras</cp:lastModifiedBy>
  <cp:revision>16</cp:revision>
  <cp:lastPrinted>2023-02-17T01:23:00Z</cp:lastPrinted>
  <dcterms:created xsi:type="dcterms:W3CDTF">2024-12-09T20:17:00Z</dcterms:created>
  <dcterms:modified xsi:type="dcterms:W3CDTF">2026-06-16T14:08:00Z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0x0101000FAED77E1687F54494D6FA83213F5B7A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